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4B" w:rsidRPr="00EF4E60" w:rsidRDefault="003F474B" w:rsidP="00F4676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7B7B7B" w:themeColor="accent3" w:themeShade="BF"/>
          <w:sz w:val="24"/>
          <w:szCs w:val="24"/>
        </w:rPr>
      </w:pPr>
    </w:p>
    <w:p w:rsidR="003F474B" w:rsidRPr="00EF4E60" w:rsidRDefault="003F474B" w:rsidP="00F4676E">
      <w:pPr>
        <w:spacing w:after="0" w:line="240" w:lineRule="auto"/>
        <w:jc w:val="both"/>
        <w:rPr>
          <w:rFonts w:ascii="Times New Roman" w:hAnsi="Times New Roman" w:cs="Times New Roman"/>
          <w:color w:val="7B7B7B" w:themeColor="accent3" w:themeShade="BF"/>
          <w:sz w:val="24"/>
          <w:szCs w:val="24"/>
        </w:rPr>
      </w:pPr>
      <w:r w:rsidRPr="00EF4E60">
        <w:rPr>
          <w:rFonts w:ascii="Times New Roman" w:hAnsi="Times New Roman" w:cs="Times New Roman"/>
          <w:color w:val="7B7B7B" w:themeColor="accent3" w:themeShade="BF"/>
          <w:sz w:val="24"/>
          <w:szCs w:val="24"/>
        </w:rPr>
        <w:t>NAZIV I RKP PRORAČUNSKOG KORISNIKA:</w:t>
      </w:r>
    </w:p>
    <w:p w:rsidR="00AF1BE0" w:rsidRPr="00EF4E60" w:rsidRDefault="00422258" w:rsidP="00F46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60">
        <w:rPr>
          <w:rFonts w:ascii="Times New Roman" w:hAnsi="Times New Roman" w:cs="Times New Roman"/>
          <w:sz w:val="24"/>
          <w:szCs w:val="24"/>
        </w:rPr>
        <w:t>ZATVOR U SPLITU</w:t>
      </w:r>
      <w:r w:rsidR="00C60B92" w:rsidRPr="00EF4E60">
        <w:rPr>
          <w:rFonts w:ascii="Times New Roman" w:hAnsi="Times New Roman" w:cs="Times New Roman"/>
          <w:sz w:val="24"/>
          <w:szCs w:val="24"/>
        </w:rPr>
        <w:t>: 3308</w:t>
      </w:r>
    </w:p>
    <w:p w:rsidR="00AF1BE0" w:rsidRPr="00EF4E60" w:rsidRDefault="00AF1BE0" w:rsidP="00F467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2E2" w:rsidRPr="00EF4E60" w:rsidRDefault="00F471E7" w:rsidP="00F467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60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  <w:r w:rsidR="00C20436" w:rsidRPr="00EF4E60">
        <w:rPr>
          <w:rFonts w:ascii="Times New Roman" w:hAnsi="Times New Roman" w:cs="Times New Roman"/>
          <w:b/>
          <w:sz w:val="24"/>
          <w:szCs w:val="24"/>
        </w:rPr>
        <w:t>2026., 2027. I 2028.</w:t>
      </w:r>
      <w:r w:rsidR="00EF4E60" w:rsidRPr="00EF4E60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:rsidR="007611E8" w:rsidRPr="00EF4E60" w:rsidRDefault="007611E8" w:rsidP="00F467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71E7" w:rsidRPr="00EF4E60" w:rsidRDefault="00F471E7" w:rsidP="00F4676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E60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C85F67" w:rsidRPr="00EF4E60" w:rsidRDefault="00C85F67" w:rsidP="00F4676E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F4E60">
        <w:rPr>
          <w:rFonts w:ascii="Times New Roman" w:hAnsi="Times New Roman" w:cs="Times New Roman"/>
          <w:sz w:val="24"/>
          <w:szCs w:val="24"/>
        </w:rPr>
        <w:t xml:space="preserve">Prijedlogom plana proračuna za 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F4E60">
        <w:rPr>
          <w:rFonts w:ascii="Times New Roman" w:hAnsi="Times New Roman" w:cs="Times New Roman"/>
          <w:sz w:val="24"/>
          <w:szCs w:val="24"/>
        </w:rPr>
        <w:t>.</w:t>
      </w:r>
      <w:r w:rsidR="00E07169" w:rsidRPr="00EF4E60">
        <w:rPr>
          <w:rFonts w:ascii="Times New Roman" w:hAnsi="Times New Roman" w:cs="Times New Roman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sz w:val="24"/>
          <w:szCs w:val="24"/>
        </w:rPr>
        <w:t xml:space="preserve">godinu te projekcijama za 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. i 20</w:t>
      </w:r>
      <w:r w:rsidR="003C2393" w:rsidRPr="00EF4E60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EF4E60">
        <w:rPr>
          <w:rFonts w:ascii="Times New Roman" w:hAnsi="Times New Roman" w:cs="Times New Roman"/>
          <w:sz w:val="24"/>
          <w:szCs w:val="24"/>
        </w:rPr>
        <w:t xml:space="preserve"> godinu planira se ostvarivanje prihoda 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iz izvora 11 – Državni proračun, izvora 31- Vlastiti prihodi, Izvora 4</w:t>
      </w:r>
      <w:r w:rsidR="00FC357E" w:rsidRPr="00EF4E6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C357E" w:rsidRPr="00EF4E60">
        <w:rPr>
          <w:rFonts w:ascii="Times New Roman" w:hAnsi="Times New Roman" w:cs="Times New Roman"/>
          <w:i/>
          <w:iCs/>
          <w:sz w:val="24"/>
          <w:szCs w:val="24"/>
        </w:rPr>
        <w:t>Prihodi od igara na sreću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te izvora </w:t>
      </w:r>
      <w:r w:rsidR="0062443B" w:rsidRPr="00EF4E60">
        <w:rPr>
          <w:rFonts w:ascii="Times New Roman" w:hAnsi="Times New Roman" w:cs="Times New Roman"/>
          <w:i/>
          <w:iCs/>
          <w:sz w:val="24"/>
          <w:szCs w:val="24"/>
        </w:rPr>
        <w:t>5 (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20436" w:rsidRPr="00EF4E60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EAGF</w:t>
      </w:r>
      <w:r w:rsidR="0062443B" w:rsidRPr="00EF4E60">
        <w:rPr>
          <w:rFonts w:ascii="Times New Roman" w:hAnsi="Times New Roman" w:cs="Times New Roman"/>
          <w:i/>
          <w:iCs/>
          <w:sz w:val="24"/>
          <w:szCs w:val="24"/>
        </w:rPr>
        <w:t>, 5012 i 56511)</w:t>
      </w:r>
      <w:r w:rsidR="00C20436"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– prihodi s osnove poticaja u poljoprivredi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07169"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03786" w:rsidRPr="00EF4E60" w:rsidRDefault="00603786" w:rsidP="00F46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60">
        <w:rPr>
          <w:rFonts w:ascii="Times New Roman" w:hAnsi="Times New Roman" w:cs="Times New Roman"/>
          <w:sz w:val="24"/>
          <w:szCs w:val="24"/>
        </w:rPr>
        <w:t xml:space="preserve">Plan prihoda za 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EF4E60">
        <w:rPr>
          <w:rFonts w:ascii="Times New Roman" w:hAnsi="Times New Roman" w:cs="Times New Roman"/>
          <w:sz w:val="24"/>
          <w:szCs w:val="24"/>
        </w:rPr>
        <w:t xml:space="preserve">.g.  te projekcije plana prihoda za 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202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F4E60"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F4E60" w:rsidRPr="00EF4E60">
        <w:rPr>
          <w:rFonts w:ascii="Times New Roman" w:hAnsi="Times New Roman" w:cs="Times New Roman"/>
          <w:i/>
          <w:iCs/>
          <w:sz w:val="24"/>
          <w:szCs w:val="24"/>
        </w:rPr>
        <w:t>od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. i 202</w:t>
      </w:r>
      <w:r w:rsidR="006E46F7" w:rsidRPr="00EF4E60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EF4E60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F4E60" w:rsidRPr="00EF4E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sz w:val="24"/>
          <w:szCs w:val="24"/>
        </w:rPr>
        <w:t>g</w:t>
      </w:r>
      <w:r w:rsidR="00EF4E60" w:rsidRPr="00EF4E60">
        <w:rPr>
          <w:rFonts w:ascii="Times New Roman" w:hAnsi="Times New Roman" w:cs="Times New Roman"/>
          <w:sz w:val="24"/>
          <w:szCs w:val="24"/>
        </w:rPr>
        <w:t>od</w:t>
      </w:r>
      <w:r w:rsidRPr="00EF4E60">
        <w:rPr>
          <w:rFonts w:ascii="Times New Roman" w:hAnsi="Times New Roman" w:cs="Times New Roman"/>
          <w:sz w:val="24"/>
          <w:szCs w:val="24"/>
        </w:rPr>
        <w:t>. izrađeni su na temelju zadanih limita (za prihode iz Državnog proračuna) te prema realno očekivanoj dinamici</w:t>
      </w:r>
      <w:r w:rsidR="00C60B92" w:rsidRPr="00EF4E60">
        <w:rPr>
          <w:rFonts w:ascii="Times New Roman" w:hAnsi="Times New Roman" w:cs="Times New Roman"/>
          <w:sz w:val="24"/>
          <w:szCs w:val="24"/>
        </w:rPr>
        <w:t xml:space="preserve"> ostvarivanja vlastitih prihoda i</w:t>
      </w:r>
      <w:r w:rsidRPr="00EF4E60">
        <w:rPr>
          <w:rFonts w:ascii="Times New Roman" w:hAnsi="Times New Roman" w:cs="Times New Roman"/>
          <w:sz w:val="24"/>
          <w:szCs w:val="24"/>
        </w:rPr>
        <w:t xml:space="preserve"> ostalih prihoda za posebne namjene</w:t>
      </w:r>
      <w:r w:rsidR="00C60B92" w:rsidRPr="00EF4E60">
        <w:rPr>
          <w:rFonts w:ascii="Times New Roman" w:hAnsi="Times New Roman" w:cs="Times New Roman"/>
          <w:sz w:val="24"/>
          <w:szCs w:val="24"/>
        </w:rPr>
        <w:t>.</w:t>
      </w:r>
      <w:r w:rsidRPr="00EF4E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F67" w:rsidRPr="00EF4E60" w:rsidRDefault="00C85F67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17584611"/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</w:t>
      </w:r>
      <w:r w:rsidR="006E46F7"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 godini planirani su prihodi iz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85F67" w:rsidRPr="00EF4E60" w:rsidRDefault="00C85F67" w:rsidP="00F467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11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Državni proračun u iznosu  </w:t>
      </w:r>
      <w:r w:rsidR="00C60B92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6.802.675,00</w:t>
      </w:r>
      <w:r w:rsidR="003F474B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potrebe redovnog poslovanja,</w:t>
      </w:r>
    </w:p>
    <w:p w:rsidR="006E7863" w:rsidRPr="00EF4E60" w:rsidRDefault="00C85F67" w:rsidP="00F4676E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31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1" w:name="_Hlk181785762"/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Vlastiti prihodi u iznosu</w:t>
      </w:r>
      <w:r w:rsidR="003F474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74B"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60B92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50.000</w:t>
      </w:r>
      <w:r w:rsidR="009A3B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,00</w:t>
      </w:r>
      <w:r w:rsidR="00710DB0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F474B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</w:t>
      </w:r>
      <w:r w:rsidR="00E0716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se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planira</w:t>
      </w:r>
      <w:r w:rsidR="00C603E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ostvariti 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od prihoda od pruženih usluga, odnosno od fotokopiranja u iznosu od 1.800,00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sprovođenja</w:t>
      </w:r>
      <w:proofErr w:type="spellEnd"/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 iznosu od 3.800,00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od najma prostora u iznosu od 4.670,00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prodaje željeza i papira u iznosu od 2.000,00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otkupa starog ulja i masti u iznosu od 1.000,00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društvene prehrane u iznosu od 700,00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od kamata na oročena i depozitna sredstva u iznosu od 30,00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te od šteta u iznosu od 1.000,00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i </w:t>
      </w:r>
      <w:r w:rsidR="00C60B92"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od rabata u iznosu od 35.000,00 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6E7863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:rsidR="008A6796" w:rsidRPr="00EF4E60" w:rsidRDefault="008A6796" w:rsidP="00F467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</w:t>
      </w:r>
      <w:r w:rsidR="00710DB0"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41</w:t>
      </w:r>
      <w:r w:rsidR="00710DB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igara na sreću u iznosu </w:t>
      </w:r>
      <w:r w:rsidR="00C60B92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106</w:t>
      </w:r>
      <w:r w:rsidR="00DF2B4A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.000</w:t>
      </w:r>
      <w:r w:rsidR="00710DB0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€</w:t>
      </w:r>
      <w:r w:rsidR="00710DB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se planira ostvariti iz preraspodjele sredstava od igara na sreću za provođenje projekat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a temeljem potpisanih ugovora s</w:t>
      </w:r>
      <w:r w:rsidR="00710DB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udrugama </w:t>
      </w:r>
    </w:p>
    <w:bookmarkEnd w:id="1"/>
    <w:p w:rsidR="008A6796" w:rsidRPr="00EF4E60" w:rsidRDefault="008A6796" w:rsidP="00F467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60B92" w:rsidRPr="00EF4E60" w:rsidRDefault="00C60B92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2027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planirani su prihodi iz: </w:t>
      </w:r>
    </w:p>
    <w:p w:rsidR="00C60B92" w:rsidRPr="00EF4E60" w:rsidRDefault="00C60B92" w:rsidP="00F467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11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Državni proračun u iznosu  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6.289.600,00 €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potrebe redovnog poslovanja,</w:t>
      </w:r>
    </w:p>
    <w:p w:rsidR="00C60B92" w:rsidRPr="00EF4E60" w:rsidRDefault="00C60B92" w:rsidP="00F4676E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31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Vlastiti prihodi u iznosu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50.000</w:t>
      </w:r>
      <w:r w:rsidR="009A3B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,00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se planiraju ostvariti 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od prihoda od pruženih usluga, odnosno od fotokopiranja u iznosu od 1.800,00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sprovođenja</w:t>
      </w:r>
      <w:proofErr w:type="spellEnd"/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 iznosu od 3.800,00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od najma prostora u iznosu od 4.670,00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prodaje željeza i papira u iznosu od 2.000,00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otkupa starog ulja i masti u iznosu od 1.000,00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društvene prehrane u iznosu od 700,00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od kamata na oročena i depozitna sredstva u iznosu od 30,00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te od šteta u iznosu od 1.000,00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i 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od rabata u iznosu od 35.000,00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</w:p>
    <w:p w:rsidR="00C60B92" w:rsidRPr="00EF4E60" w:rsidRDefault="00C60B92" w:rsidP="00F467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41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igara na sreću u iznosu 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100.000</w:t>
      </w:r>
      <w:r w:rsidR="009A3B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,00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se planira ostvariti iz preraspodjele sredstava od igara na sreću za provođenje projekata temeljem potpisanih ugovora s udrugama </w:t>
      </w:r>
    </w:p>
    <w:p w:rsidR="00C60B92" w:rsidRDefault="00C60B92" w:rsidP="00F467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EF4E60" w:rsidRDefault="00EF4E60" w:rsidP="00F467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EF4E60" w:rsidRPr="00EF4E60" w:rsidRDefault="00EF4E60" w:rsidP="00F4676E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C60B92" w:rsidRPr="00EF4E60" w:rsidRDefault="00C60B92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2028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planirani su prihodi iz: </w:t>
      </w:r>
    </w:p>
    <w:p w:rsidR="00C60B92" w:rsidRPr="00EF4E60" w:rsidRDefault="00C60B92" w:rsidP="00F467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11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Državni proračun u iznosu  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6.</w:t>
      </w:r>
      <w:r w:rsid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176.469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,00 €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potrebe redovnog poslovanja,</w:t>
      </w:r>
    </w:p>
    <w:p w:rsidR="00C60B92" w:rsidRPr="00EF4E60" w:rsidRDefault="00C60B92" w:rsidP="00F4676E">
      <w:pPr>
        <w:pStyle w:val="Odlomakpopisa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izvora 31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Vlastiti prihodi u iznosu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50.000</w:t>
      </w:r>
      <w:r w:rsidR="009A3B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,00</w:t>
      </w:r>
      <w:r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se planiraju ostvariti 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od prihoda od pruženih usluga, odnosno od fotokopiranja u iznosu od 1.800,00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sprovođenja</w:t>
      </w:r>
      <w:proofErr w:type="spellEnd"/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u iznosu od 3.800,00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od najma prostora u iznosu od 4.670,00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prodaje željeza i papira u iznosu od 2.000,00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otkupa starog ulja i masti u iznosu od 1.000,00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društvene prehrane u iznosu od 700,00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, od kamata na oročena i depozitna sredstva u iznosu od 30,00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te od šteta u iznosu od 1.000,00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i </w:t>
      </w:r>
      <w:r w:rsidRPr="00EF4E60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od rabata u iznosu od 35.000,00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€ </w:t>
      </w:r>
    </w:p>
    <w:p w:rsidR="006E7863" w:rsidRPr="00EF4E60" w:rsidRDefault="00F4676E" w:rsidP="00F4676E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="00C60B92"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zvora 41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Prihodi od igara na sreću u iznosu </w:t>
      </w:r>
      <w:r w:rsid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9</w:t>
      </w:r>
      <w:r w:rsidR="00C60B92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0.000</w:t>
      </w:r>
      <w:r w:rsidR="009A3BF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,00</w:t>
      </w:r>
      <w:r w:rsidR="00C60B92" w:rsidRPr="00EF4E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€</w:t>
      </w:r>
      <w:r w:rsidR="00C60B9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koje se planira ostvariti iz preraspodjele sredstava od igara na sreću za provođenje projekata temelje</w:t>
      </w:r>
      <w:r w:rsidR="00EF4E60">
        <w:rPr>
          <w:rFonts w:ascii="Times New Roman" w:hAnsi="Times New Roman" w:cs="Times New Roman"/>
          <w:color w:val="000000" w:themeColor="text1"/>
          <w:sz w:val="24"/>
          <w:szCs w:val="24"/>
        </w:rPr>
        <w:t>m potpisanih ugovora s udrugama</w:t>
      </w:r>
    </w:p>
    <w:p w:rsidR="003F474B" w:rsidRPr="00EF4E60" w:rsidRDefault="003F474B" w:rsidP="00F46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EF4E60" w:rsidRDefault="00F471E7" w:rsidP="00F4676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RASHODI I IZDACI</w:t>
      </w:r>
    </w:p>
    <w:p w:rsidR="008A6796" w:rsidRPr="00EF4E60" w:rsidRDefault="00603786" w:rsidP="00F467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148092693"/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 202</w:t>
      </w:r>
      <w:r w:rsidR="0097617E"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godini ukupni rashodi</w:t>
      </w:r>
      <w:r w:rsidR="00554924"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planirani su</w:t>
      </w: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u iznosu </w:t>
      </w:r>
      <w:r w:rsidR="00403F99"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6.802.675,00</w:t>
      </w:r>
      <w:r w:rsidR="008A6796"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 €</w:t>
      </w:r>
      <w:r w:rsidR="008A6796"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554924"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8C3736" w:rsidRPr="00EF4E60" w:rsidRDefault="00554924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Hlk148092733"/>
      <w:bookmarkEnd w:id="2"/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 prihodi i primici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(izvor 11)</w:t>
      </w:r>
      <w:r w:rsidR="001C63A6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rashodi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="00403F99"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6.802.675,00 </w:t>
      </w:r>
      <w:r w:rsidR="00403F99"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€</w:t>
      </w:r>
      <w:r w:rsidR="001C63A6"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</w:t>
      </w:r>
      <w:r w:rsidR="00403F99"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najveći dio se odnosi na financiranje rashoda za zaposlene u iznosu 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4.704.300,00</w:t>
      </w:r>
      <w:r w:rsidR="001C63A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78B1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€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, a čine ih plaće za zaposlene, doprinosi na plaću</w:t>
      </w:r>
      <w:r w:rsidR="00453B3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ostali rashodi za zaposlene. 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Materijalni rashodi</w:t>
      </w:r>
      <w:r w:rsidR="00635D3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78B1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planiraju se</w:t>
      </w:r>
      <w:r w:rsidR="00635D3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r w:rsidR="0097617E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iznosu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</w:t>
      </w:r>
      <w:r w:rsidR="0097617E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1.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189.650,00</w:t>
      </w:r>
      <w:r w:rsidR="00C978B1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635D3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najvećim dijelom obuhvaćaju </w:t>
      </w:r>
      <w:r w:rsidR="001C63A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materijal i sirovine, energiju i komunalne usluge te </w:t>
      </w:r>
      <w:r w:rsidR="00635D3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prijevoz za zaposlene</w:t>
      </w:r>
      <w:r w:rsidR="001C63A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3736" w:rsidRPr="00EF4E60" w:rsidRDefault="00453B39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financijske rashode 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 se utrošiti 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4.0</w:t>
      </w:r>
      <w:r w:rsidR="0097617E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C978B1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, a naknade građanima i kućanstvima na temelju osiguranja u iznosu od 2.000 €</w:t>
      </w:r>
      <w:r w:rsidR="008C373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A06A0" w:rsidRPr="00EF4E60" w:rsidRDefault="008C3736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nabavu </w:t>
      </w:r>
      <w:r w:rsidR="0084481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nefinancijske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imovine</w:t>
      </w:r>
      <w:r w:rsidR="00403F99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 se</w:t>
      </w:r>
      <w:r w:rsidR="0060378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6A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902.725,00</w:t>
      </w:r>
      <w:r w:rsidR="00C978B1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6A0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€</w:t>
      </w:r>
      <w:r w:rsidR="00CA06A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(uredsku opremu</w:t>
      </w:r>
      <w:r w:rsid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namještaj u iznosu od 5.600,</w:t>
      </w:r>
      <w:r w:rsidR="00CA06A0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00 €,</w:t>
      </w:r>
      <w:r w:rsidR="00CA06A0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06A0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komunikacijsku opremu u iznosu</w:t>
      </w:r>
      <w:r w:rsidR="00CA06A0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06A0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</w:t>
      </w:r>
      <w:r w:rsidR="00CA06A0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06A0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2.500,00 €,</w:t>
      </w:r>
      <w:r w:rsidR="00CA06A0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A06A0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opremu za održavanje i zaštitu u iznosu od 1.000, 00 €, medicinsku i laboratorijsku opremu u iznosu od 1.000,00 € te instrumente, uređaje i strojeve u iznosu od 100.000,00 €</w:t>
      </w:r>
      <w:r w:rsidR="00CA06A0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C38F8" w:rsidRPr="00EF4E60" w:rsidRDefault="008C3736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FC357E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dodatna ulaganja na građevinskim objektima 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 se iznos od </w:t>
      </w:r>
      <w:r w:rsidR="006C38F8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792.625,00 €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za rekonstrukciju kuhinje, uslugu izrade projekta za sanaciju krovišta i ugradnju solarnih panela te izgradnju zaštitnog zida. 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F8" w:rsidRPr="00EF4E60" w:rsidRDefault="00C978B1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</w:t>
      </w:r>
      <w:r w:rsidR="001A31C9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lastitih prihod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 (izvor 31)</w:t>
      </w:r>
      <w:r w:rsidR="001C63A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C63A6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rashodi</w:t>
      </w:r>
      <w:r w:rsidR="001C63A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</w:t>
      </w:r>
      <w:r w:rsidR="00FB0BD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50.000,00</w:t>
      </w:r>
      <w:r w:rsidR="00FB0BD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€. Financiranje materijalnih rashoda planira se u iznosu 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35.000,00 €, </w:t>
      </w:r>
      <w:r w:rsidR="00FB0BD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a najveći dio se odnosi na  materijal i sirovine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energiju i usluge tekućeg i investicijskog održavanja</w:t>
      </w:r>
      <w:r w:rsidR="00FB0BD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978B1" w:rsidRPr="00EF4E60" w:rsidRDefault="00C978B1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F0707" w:rsidRPr="00EF4E60" w:rsidRDefault="007238E4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Prihodi od igara na sreću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(izvor 41</w:t>
      </w:r>
      <w:r w:rsidR="00FB0BD5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rashodi </w:t>
      </w:r>
      <w:r w:rsidR="00FB0BD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iznose 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106</w:t>
      </w:r>
      <w:r w:rsidR="00952FE1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.000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="00834BA6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2F0707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sredstava se planiraju utrošiti za provođenje projekata temeljem potpisanih ugovora </w:t>
      </w:r>
      <w:r w:rsidR="006C38F8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s udrugama)</w:t>
      </w:r>
      <w:r w:rsidR="00F56EA3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611E8" w:rsidRPr="00EF4E60" w:rsidRDefault="007611E8" w:rsidP="00F4676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bookmarkEnd w:id="3"/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2027. godini ukupni rashodi planirani su u iznosu </w:t>
      </w:r>
      <w:r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6.289.600,00 €</w:t>
      </w: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 prihodi i primici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(izvor 11): rashodi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6.289.600,00 </w:t>
      </w:r>
      <w:r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a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najveći dio se odnosi na financiranje rashoda za zaposlene u iznosu 4.547.900,00 €, a čine ih plaće za zaposlene, doprinosi na plaću i ostali rashodi za zaposlene. Materijalni rashodi planiraju se u iznosu od 1.130.000,00 €, a najvećim dijelom obuhvaćaju materijal i sirovine, energiju i komunalne usluge te prijevoz za zaposlene.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financijske rashode planira se utrošiti 4.000,00 €. </w:t>
      </w:r>
    </w:p>
    <w:p w:rsidR="006C38F8" w:rsidRPr="00EF4E60" w:rsidRDefault="006C38F8" w:rsidP="00F467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nabavu nefinancijske imovine planira se 607.700,00 </w:t>
      </w:r>
      <w:r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(uredsku opremu i namještaj u iznosu od 2.000, </w:t>
      </w:r>
      <w:r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00 €, komunikacijsku opremu u iznosu od 2.500,00 €, opremu za održavanje </w:t>
      </w:r>
      <w:r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i zaštitu u iznosu od 1.000, 00 €, medicinsku i laboratorijsku opremu u iznosu od 200,00 € te instrumente, uređaje i strojeve u iznosu od 2.000,00 €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6C38F8" w:rsidRPr="00EF4E60" w:rsidRDefault="006C38F8" w:rsidP="00F467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dodatna ulaganja na građevinskim objektima planira se iznos od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600.000,00 €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za sanaciju krovišta, izgradnju parkirališta, izradu glavnog projekta energetske obnove, ugradnja solarne elektrane s pripadajućim solarnim panelima. 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Vlastiti prihodi (izvor 31)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rashodi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50.000,00 €. Financiranje materijalnih rashoda planira se u iznosu 35.000,00 €, a najveći dio se odnosi na  materijal i sirovine te energiju i usluge tekućeg i investicijskog održavanja.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F8" w:rsidRPr="00EF4E60" w:rsidRDefault="006C38F8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Prihodi od igara na sreću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(izvor 41 rashodi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iznose 100.000,00 €, a sredstava se planiraju utrošiti za provođenje projekata temeljem potpisanih ugovora s udrugama).</w:t>
      </w:r>
    </w:p>
    <w:p w:rsidR="00635D38" w:rsidRPr="00EF4E60" w:rsidRDefault="00635D38" w:rsidP="00F4676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7F13DB" w:rsidRPr="00EF4E60" w:rsidRDefault="007F13DB" w:rsidP="00F4676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 2028. godini ukupni rashodi planirani su u iznosu </w:t>
      </w:r>
      <w:r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6.</w:t>
      </w:r>
      <w:r w:rsidR="0059012B"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176.469</w:t>
      </w:r>
      <w:r w:rsidRPr="00EF4E60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,00 €</w:t>
      </w: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 prihodi i primici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(izvor 11): rashodi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6.</w:t>
      </w:r>
      <w:r w:rsidR="0059012B"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176.469</w:t>
      </w:r>
      <w:r w:rsidRPr="00EF4E60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,00 €, a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najveći dio se odnosi na financiranje rashoda za zaposlene u iznosu 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4.562.069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,00 €, a čine ih plaće za zaposlene, doprinosi na plaću i ostali rashodi za zaposlene. Materijalni rashodi planiraju se u iznosu od 1.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3.2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00,00 €, a najvećim dijelom obuhvaćaju materijal i sirovine, energiju i komunalne usluge te prijevoz za zaposlene.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financijske rashode planira se utrošiti 4.000,00 €. </w:t>
      </w:r>
    </w:p>
    <w:p w:rsidR="0059012B" w:rsidRPr="00EF4E60" w:rsidRDefault="006C38F8" w:rsidP="00F467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nabavu nefinancijske imovine planira se 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507.200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(uredsku opremu</w:t>
      </w:r>
      <w:r w:rsidR="005A7C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namještaj u iznosu od 1.500,</w:t>
      </w:r>
      <w:r w:rsidR="0059012B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</w:t>
      </w:r>
      <w:r w:rsidR="0059012B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9012B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€, komunikacijsku opremu u iznosu od 2.500,00 €, opremu za održavan</w:t>
      </w:r>
      <w:r w:rsidR="005A7C1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i zaštitu u iznosu od 1.000,</w:t>
      </w:r>
      <w:bookmarkStart w:id="4" w:name="_GoBack"/>
      <w:bookmarkEnd w:id="4"/>
      <w:r w:rsidR="0059012B" w:rsidRPr="00EF4E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00 €, medicinsku i laboratorijsku opremu u iznosu od 200,00 € te instrumente, uređaje i strojeve u iznosu od 2.000,00 €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59012B" w:rsidRPr="00EF4E60" w:rsidRDefault="006C38F8" w:rsidP="00F467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dodatna ulaganja na građevinskim objektima planira se iznos od </w:t>
      </w:r>
      <w:r w:rsidR="0059012B"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00.000,00 €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za energetsku obnovu zgrade.</w:t>
      </w:r>
    </w:p>
    <w:p w:rsidR="0059012B" w:rsidRPr="00EF4E60" w:rsidRDefault="0059012B" w:rsidP="00F467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F8" w:rsidRPr="00EF4E60" w:rsidRDefault="006C38F8" w:rsidP="00F4676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Vlastiti prihodi (izvor 31)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rashodi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iznose 50.000,00 €. Financiranje materijalnih rashoda planira se u iznosu 35.000,00 €, a najveći dio se odnosi na  materijal i sirovine te energiju i usluge tekućeg i investicijskog održavanja.</w:t>
      </w:r>
    </w:p>
    <w:p w:rsidR="006C38F8" w:rsidRPr="00EF4E60" w:rsidRDefault="006C38F8" w:rsidP="00F4676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8F8" w:rsidRPr="00EF4E60" w:rsidRDefault="006C38F8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Prihodi od igara na sreću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(izvor 41 rashodi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iznose 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0.000,00 €, a sredstava se planiraju utrošiti za provođenje projekata temeljem potpisanih ugovora s udrugama).</w:t>
      </w:r>
    </w:p>
    <w:p w:rsidR="00834BA6" w:rsidRPr="00EF4E60" w:rsidRDefault="00834BA6" w:rsidP="00F4676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35D38" w:rsidRPr="00EF4E60" w:rsidRDefault="00635D38" w:rsidP="00F4676E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:rsidR="0050170B" w:rsidRPr="00EF4E60" w:rsidRDefault="0050170B" w:rsidP="00F4676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71E7" w:rsidRPr="00EF4E60" w:rsidRDefault="00F471E7" w:rsidP="00F4676E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PRIJENOS SREDSTAVA IZ PRETHODNE I U SLJEDEĆU GODINU</w:t>
      </w:r>
    </w:p>
    <w:p w:rsidR="000F2922" w:rsidRPr="00EF4E60" w:rsidRDefault="0027510B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Prijenos sredstava – i</w:t>
      </w:r>
      <w:r w:rsidR="000F2922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zvor 31:</w:t>
      </w:r>
    </w:p>
    <w:p w:rsidR="000F2922" w:rsidRPr="00EF4E60" w:rsidRDefault="000F2922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22462F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planiran je donos sredstva u iznosu </w:t>
      </w:r>
      <w:r w:rsidR="0022462F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0,</w:t>
      </w:r>
      <w:r w:rsidR="00FA756C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€, te odnos sredstava u iznosu </w:t>
      </w:r>
      <w:r w:rsidR="00FA756C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922" w:rsidRPr="00EF4E60" w:rsidRDefault="000F2922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22462F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planiran je donos sredstava u iznosu </w:t>
      </w:r>
      <w:r w:rsidR="00FA756C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a odnos sredstava u iznosu </w:t>
      </w:r>
      <w:r w:rsidR="00FA756C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F2922" w:rsidRPr="00EF4E60" w:rsidRDefault="000F2922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U 202</w:t>
      </w:r>
      <w:r w:rsidR="0022462F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planiran je donos sredstava u iznosu </w:t>
      </w:r>
      <w:r w:rsidR="00FA756C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 te odnos sredstava u iznosu </w:t>
      </w:r>
      <w:r w:rsidR="00FA756C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€</w:t>
      </w:r>
      <w:r w:rsidR="007A0255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446D" w:rsidRDefault="000F2922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Navedenim sredstvima planira se podmirenje rashoda za materijal i energiju</w:t>
      </w:r>
      <w:r w:rsidR="0059012B" w:rsidRPr="00EF4E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36AED" w:rsidRPr="00B36AED" w:rsidRDefault="00B36AED" w:rsidP="00F4676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86B7B" w:rsidRPr="00EF4E60" w:rsidRDefault="00186B7B" w:rsidP="00F46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60">
        <w:rPr>
          <w:rFonts w:ascii="Times New Roman" w:hAnsi="Times New Roman" w:cs="Times New Roman"/>
          <w:b/>
          <w:sz w:val="24"/>
          <w:szCs w:val="24"/>
        </w:rPr>
        <w:lastRenderedPageBreak/>
        <w:t>UKUPNE I DOSPJELE OBVEZE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C85F67" w:rsidRPr="00EF4E60" w:rsidTr="009D7CA0">
        <w:tc>
          <w:tcPr>
            <w:tcW w:w="1838" w:type="dxa"/>
          </w:tcPr>
          <w:p w:rsidR="009D7CA0" w:rsidRPr="00EF4E60" w:rsidRDefault="009D7CA0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Pr="00EF4E60" w:rsidRDefault="009D7CA0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22462F" w:rsidRPr="00EF4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:rsidR="009D7CA0" w:rsidRPr="00EF4E60" w:rsidRDefault="009D7CA0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Stanje obveza na dan 30.06.202</w:t>
            </w:r>
            <w:r w:rsidR="0022462F" w:rsidRPr="00EF4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85F67" w:rsidRPr="00EF4E60" w:rsidTr="009D7CA0">
        <w:tc>
          <w:tcPr>
            <w:tcW w:w="1838" w:type="dxa"/>
          </w:tcPr>
          <w:p w:rsidR="009D7CA0" w:rsidRPr="00EF4E60" w:rsidRDefault="009D7CA0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:rsidR="009D7CA0" w:rsidRPr="00EF4E60" w:rsidRDefault="00A92621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491.150,91</w:t>
            </w:r>
          </w:p>
        </w:tc>
        <w:tc>
          <w:tcPr>
            <w:tcW w:w="3680" w:type="dxa"/>
          </w:tcPr>
          <w:p w:rsidR="007E1B76" w:rsidRPr="00EF4E60" w:rsidRDefault="00A92621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520.332,89</w:t>
            </w:r>
          </w:p>
        </w:tc>
      </w:tr>
      <w:tr w:rsidR="009D7CA0" w:rsidRPr="00EF4E60" w:rsidTr="009D7CA0">
        <w:tc>
          <w:tcPr>
            <w:tcW w:w="1838" w:type="dxa"/>
          </w:tcPr>
          <w:p w:rsidR="009D7CA0" w:rsidRPr="00EF4E60" w:rsidRDefault="009D7CA0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Pr="00EF4E60" w:rsidRDefault="000F2922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80" w:type="dxa"/>
          </w:tcPr>
          <w:p w:rsidR="009D7CA0" w:rsidRPr="00EF4E60" w:rsidRDefault="000F2922" w:rsidP="00F46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E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D0A1C" w:rsidRPr="00EF4E60" w:rsidRDefault="000D0A1C" w:rsidP="00F467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391C" w:rsidRPr="00EF4E60" w:rsidRDefault="00A7391C" w:rsidP="00F467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91C" w:rsidRPr="00EF4E60" w:rsidRDefault="00A7391C" w:rsidP="00F467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391C" w:rsidRPr="00EF4E60" w:rsidRDefault="00A7391C" w:rsidP="00F4676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391C" w:rsidRPr="00EF4E60" w:rsidSect="009A5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57" w:rsidRDefault="005C0F57" w:rsidP="006C525A">
      <w:pPr>
        <w:spacing w:after="0" w:line="240" w:lineRule="auto"/>
      </w:pPr>
      <w:r>
        <w:separator/>
      </w:r>
    </w:p>
  </w:endnote>
  <w:endnote w:type="continuationSeparator" w:id="0">
    <w:p w:rsidR="005C0F57" w:rsidRDefault="005C0F57" w:rsidP="006C5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57" w:rsidRDefault="005C0F57" w:rsidP="006C525A">
      <w:pPr>
        <w:spacing w:after="0" w:line="240" w:lineRule="auto"/>
      </w:pPr>
      <w:r>
        <w:separator/>
      </w:r>
    </w:p>
  </w:footnote>
  <w:footnote w:type="continuationSeparator" w:id="0">
    <w:p w:rsidR="005C0F57" w:rsidRDefault="005C0F57" w:rsidP="006C5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B3A93"/>
    <w:multiLevelType w:val="hybridMultilevel"/>
    <w:tmpl w:val="68B8C444"/>
    <w:lvl w:ilvl="0" w:tplc="3DD0E7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1C"/>
    <w:rsid w:val="00040153"/>
    <w:rsid w:val="00082F49"/>
    <w:rsid w:val="000C1896"/>
    <w:rsid w:val="000D0A1C"/>
    <w:rsid w:val="000E5108"/>
    <w:rsid w:val="000F2922"/>
    <w:rsid w:val="000F74AA"/>
    <w:rsid w:val="00132D02"/>
    <w:rsid w:val="00137FE9"/>
    <w:rsid w:val="00186B7B"/>
    <w:rsid w:val="001A31C9"/>
    <w:rsid w:val="001C63A6"/>
    <w:rsid w:val="0022462F"/>
    <w:rsid w:val="00232DA2"/>
    <w:rsid w:val="00245B1D"/>
    <w:rsid w:val="00253F96"/>
    <w:rsid w:val="0026342C"/>
    <w:rsid w:val="0027510B"/>
    <w:rsid w:val="0027743A"/>
    <w:rsid w:val="0029735D"/>
    <w:rsid w:val="00297F7A"/>
    <w:rsid w:val="002F0707"/>
    <w:rsid w:val="00303574"/>
    <w:rsid w:val="003578D4"/>
    <w:rsid w:val="003670C1"/>
    <w:rsid w:val="00376911"/>
    <w:rsid w:val="00390226"/>
    <w:rsid w:val="003A22DB"/>
    <w:rsid w:val="003C2393"/>
    <w:rsid w:val="003F474B"/>
    <w:rsid w:val="00403F99"/>
    <w:rsid w:val="00407290"/>
    <w:rsid w:val="00422258"/>
    <w:rsid w:val="00426B63"/>
    <w:rsid w:val="00440F9F"/>
    <w:rsid w:val="00453B39"/>
    <w:rsid w:val="00466878"/>
    <w:rsid w:val="004A2076"/>
    <w:rsid w:val="0050170B"/>
    <w:rsid w:val="00522BC0"/>
    <w:rsid w:val="00554924"/>
    <w:rsid w:val="005722A3"/>
    <w:rsid w:val="00584F5A"/>
    <w:rsid w:val="005859AB"/>
    <w:rsid w:val="0059012B"/>
    <w:rsid w:val="005A7C1B"/>
    <w:rsid w:val="005C0F57"/>
    <w:rsid w:val="005C1418"/>
    <w:rsid w:val="005D30B8"/>
    <w:rsid w:val="00603786"/>
    <w:rsid w:val="00605080"/>
    <w:rsid w:val="0062443B"/>
    <w:rsid w:val="00624C16"/>
    <w:rsid w:val="00635D38"/>
    <w:rsid w:val="00661476"/>
    <w:rsid w:val="00667214"/>
    <w:rsid w:val="00682C21"/>
    <w:rsid w:val="00691703"/>
    <w:rsid w:val="0069380A"/>
    <w:rsid w:val="006C38F8"/>
    <w:rsid w:val="006C525A"/>
    <w:rsid w:val="006D7FA4"/>
    <w:rsid w:val="006E46F7"/>
    <w:rsid w:val="006E7863"/>
    <w:rsid w:val="00710DB0"/>
    <w:rsid w:val="0072334A"/>
    <w:rsid w:val="007238E4"/>
    <w:rsid w:val="00745183"/>
    <w:rsid w:val="007611E8"/>
    <w:rsid w:val="007A0255"/>
    <w:rsid w:val="007E1B76"/>
    <w:rsid w:val="007F13DB"/>
    <w:rsid w:val="00834BA6"/>
    <w:rsid w:val="0084446D"/>
    <w:rsid w:val="00844819"/>
    <w:rsid w:val="00886D68"/>
    <w:rsid w:val="008A6796"/>
    <w:rsid w:val="008C3736"/>
    <w:rsid w:val="008C44B7"/>
    <w:rsid w:val="00917E99"/>
    <w:rsid w:val="009257BD"/>
    <w:rsid w:val="0094274B"/>
    <w:rsid w:val="00952FE1"/>
    <w:rsid w:val="00975BA7"/>
    <w:rsid w:val="0097617E"/>
    <w:rsid w:val="009A3BF9"/>
    <w:rsid w:val="009A5FD9"/>
    <w:rsid w:val="009B23E3"/>
    <w:rsid w:val="009B6499"/>
    <w:rsid w:val="009D7CA0"/>
    <w:rsid w:val="00A505C8"/>
    <w:rsid w:val="00A53083"/>
    <w:rsid w:val="00A7391C"/>
    <w:rsid w:val="00A91A10"/>
    <w:rsid w:val="00A92621"/>
    <w:rsid w:val="00AC288F"/>
    <w:rsid w:val="00AE2812"/>
    <w:rsid w:val="00AF1BE0"/>
    <w:rsid w:val="00B17618"/>
    <w:rsid w:val="00B321E5"/>
    <w:rsid w:val="00B36AED"/>
    <w:rsid w:val="00B416A1"/>
    <w:rsid w:val="00B7793B"/>
    <w:rsid w:val="00B85FA8"/>
    <w:rsid w:val="00BF44C6"/>
    <w:rsid w:val="00C0092F"/>
    <w:rsid w:val="00C20436"/>
    <w:rsid w:val="00C21A32"/>
    <w:rsid w:val="00C228CA"/>
    <w:rsid w:val="00C603E0"/>
    <w:rsid w:val="00C60B92"/>
    <w:rsid w:val="00C61DE6"/>
    <w:rsid w:val="00C6308F"/>
    <w:rsid w:val="00C85F67"/>
    <w:rsid w:val="00C978B1"/>
    <w:rsid w:val="00CA06A0"/>
    <w:rsid w:val="00CA12E2"/>
    <w:rsid w:val="00CB6190"/>
    <w:rsid w:val="00D019AB"/>
    <w:rsid w:val="00D04CD7"/>
    <w:rsid w:val="00D415AD"/>
    <w:rsid w:val="00D80BDF"/>
    <w:rsid w:val="00DD2586"/>
    <w:rsid w:val="00DF2B4A"/>
    <w:rsid w:val="00DF778D"/>
    <w:rsid w:val="00E07169"/>
    <w:rsid w:val="00E23E43"/>
    <w:rsid w:val="00E33691"/>
    <w:rsid w:val="00E34EA9"/>
    <w:rsid w:val="00E60E44"/>
    <w:rsid w:val="00E74D93"/>
    <w:rsid w:val="00E833EA"/>
    <w:rsid w:val="00ED3FD5"/>
    <w:rsid w:val="00EE0AEC"/>
    <w:rsid w:val="00EF4E60"/>
    <w:rsid w:val="00F41916"/>
    <w:rsid w:val="00F4676E"/>
    <w:rsid w:val="00F471E7"/>
    <w:rsid w:val="00F54BAF"/>
    <w:rsid w:val="00F56EA3"/>
    <w:rsid w:val="00F70550"/>
    <w:rsid w:val="00FA756C"/>
    <w:rsid w:val="00FB0BD5"/>
    <w:rsid w:val="00FB53B6"/>
    <w:rsid w:val="00FC357E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C525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C525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C52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F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85F6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38E4"/>
    <w:rPr>
      <w:rFonts w:ascii="Segoe UI" w:hAnsi="Segoe UI" w:cs="Segoe UI"/>
      <w:sz w:val="18"/>
      <w:szCs w:val="18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6C525A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6C525A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6C52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84124-AAAC-43EF-97BD-1FD9CF79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1224</Words>
  <Characters>6978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Brozić Puček</dc:creator>
  <cp:lastModifiedBy>Ivana Kovač</cp:lastModifiedBy>
  <cp:revision>11</cp:revision>
  <cp:lastPrinted>2024-11-06T11:55:00Z</cp:lastPrinted>
  <dcterms:created xsi:type="dcterms:W3CDTF">2025-12-12T11:46:00Z</dcterms:created>
  <dcterms:modified xsi:type="dcterms:W3CDTF">2025-12-12T12:17:00Z</dcterms:modified>
</cp:coreProperties>
</file>